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8CD9" w14:textId="77777777" w:rsidR="004D4E26" w:rsidRDefault="0038704F" w:rsidP="0038704F">
      <w:pPr>
        <w:jc w:val="center"/>
        <w:rPr>
          <w:b/>
          <w:sz w:val="24"/>
        </w:rPr>
      </w:pPr>
      <w:r w:rsidRPr="0038704F">
        <w:rPr>
          <w:b/>
          <w:sz w:val="24"/>
        </w:rPr>
        <w:t>INSTRUCCIONES PARA AUTOEVALUACIÓN DE CONTROLES PRIORIZADOS DE LA NORMA NCH-ISO 27001-2013</w:t>
      </w:r>
    </w:p>
    <w:p w14:paraId="53A9362D" w14:textId="77777777" w:rsidR="0038704F" w:rsidRPr="0038704F" w:rsidRDefault="0038704F" w:rsidP="0038704F">
      <w:pPr>
        <w:jc w:val="center"/>
        <w:rPr>
          <w:b/>
          <w:sz w:val="24"/>
        </w:rPr>
      </w:pPr>
    </w:p>
    <w:p w14:paraId="1D9031EB" w14:textId="77777777" w:rsidR="0038704F" w:rsidRDefault="0038704F" w:rsidP="0038704F">
      <w:pPr>
        <w:pStyle w:val="Prrafodelist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OBJETIVO</w:t>
      </w:r>
    </w:p>
    <w:p w14:paraId="3FD7C87B" w14:textId="77777777" w:rsidR="0038704F" w:rsidRPr="0038704F" w:rsidRDefault="0038704F" w:rsidP="00425AC7">
      <w:r w:rsidRPr="0038704F">
        <w:t xml:space="preserve">Entregar instrucciones para evaluar el nivel de madurez, respecto a los controles de la norma </w:t>
      </w:r>
      <w:proofErr w:type="spellStart"/>
      <w:r w:rsidRPr="0038704F">
        <w:t>NCh</w:t>
      </w:r>
      <w:proofErr w:type="spellEnd"/>
      <w:r w:rsidRPr="0038704F">
        <w:t>-ISO 27001.2013 en los Servicios de Salud y Seremis.</w:t>
      </w:r>
    </w:p>
    <w:p w14:paraId="5432F4CB" w14:textId="77777777" w:rsidR="0038704F" w:rsidRDefault="0038704F" w:rsidP="0038704F">
      <w:pPr>
        <w:pStyle w:val="Prrafodelist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ALCANCE</w:t>
      </w:r>
    </w:p>
    <w:p w14:paraId="41E5EEFB" w14:textId="77777777" w:rsidR="0038704F" w:rsidRPr="0038704F" w:rsidRDefault="0038704F" w:rsidP="00425AC7">
      <w:r w:rsidRPr="0038704F">
        <w:t>Servicios de Salud y Seremis.</w:t>
      </w:r>
    </w:p>
    <w:p w14:paraId="2D0DE7DB" w14:textId="77777777" w:rsidR="0038704F" w:rsidRDefault="0038704F" w:rsidP="0038704F">
      <w:pPr>
        <w:pStyle w:val="Prrafodelista"/>
        <w:numPr>
          <w:ilvl w:val="0"/>
          <w:numId w:val="1"/>
        </w:numPr>
        <w:ind w:left="284" w:hanging="284"/>
        <w:rPr>
          <w:b/>
        </w:rPr>
      </w:pPr>
      <w:r>
        <w:rPr>
          <w:b/>
        </w:rPr>
        <w:t>INSTRUCCIONES</w:t>
      </w:r>
    </w:p>
    <w:p w14:paraId="098479C7" w14:textId="77777777" w:rsidR="00161A7B" w:rsidRDefault="00161A7B" w:rsidP="00161A7B">
      <w:pPr>
        <w:pStyle w:val="Prrafodelista"/>
        <w:ind w:left="284"/>
        <w:rPr>
          <w:b/>
        </w:rPr>
      </w:pPr>
    </w:p>
    <w:p w14:paraId="3A408A21" w14:textId="77777777" w:rsidR="0038704F" w:rsidRPr="00161A7B" w:rsidRDefault="0038704F" w:rsidP="00161A7B">
      <w:pPr>
        <w:pStyle w:val="Prrafodelista"/>
        <w:numPr>
          <w:ilvl w:val="1"/>
          <w:numId w:val="1"/>
        </w:numPr>
        <w:ind w:left="567" w:hanging="567"/>
        <w:rPr>
          <w:b/>
        </w:rPr>
      </w:pPr>
      <w:r w:rsidRPr="00161A7B">
        <w:rPr>
          <w:b/>
        </w:rPr>
        <w:t>Introducción</w:t>
      </w:r>
    </w:p>
    <w:p w14:paraId="58FFEEBA" w14:textId="77777777" w:rsidR="0038704F" w:rsidRPr="0038704F" w:rsidRDefault="0038704F" w:rsidP="00425AC7">
      <w:r w:rsidRPr="0038704F">
        <w:t xml:space="preserve">La evaluación del nivel de madurez de los controles priorizados por el Ministerio del Interior, se realizará en base a los controles definidos en el Anexo A de la norma </w:t>
      </w:r>
      <w:proofErr w:type="spellStart"/>
      <w:r w:rsidRPr="0038704F">
        <w:t>NCh</w:t>
      </w:r>
      <w:proofErr w:type="spellEnd"/>
      <w:r w:rsidRPr="0038704F">
        <w:t>-ISO 27001.2013 y las directrices de implementación definidas en la Guía metodológica de la Red de expertos del Ministerio del Interior</w:t>
      </w:r>
      <w:r w:rsidRPr="0038704F">
        <w:rPr>
          <w:rStyle w:val="Refdenotaalpie"/>
        </w:rPr>
        <w:footnoteReference w:id="1"/>
      </w:r>
      <w:r>
        <w:t>, y</w:t>
      </w:r>
      <w:r w:rsidR="00161A7B">
        <w:t xml:space="preserve"> los niveles de madurez basados en prácticas líderes como COBIT, CMMI, entre otras</w:t>
      </w:r>
      <w:r w:rsidRPr="0038704F">
        <w:t>.</w:t>
      </w:r>
    </w:p>
    <w:p w14:paraId="6D762E22" w14:textId="77777777" w:rsidR="005C3F0C" w:rsidRPr="005C3F0C" w:rsidRDefault="005C3F0C" w:rsidP="00D508A7">
      <w:pPr>
        <w:pStyle w:val="Prrafodelista"/>
        <w:numPr>
          <w:ilvl w:val="1"/>
          <w:numId w:val="1"/>
        </w:numPr>
        <w:ind w:left="567" w:hanging="567"/>
        <w:rPr>
          <w:b/>
        </w:rPr>
      </w:pPr>
      <w:r w:rsidRPr="005C3F0C">
        <w:rPr>
          <w:b/>
        </w:rPr>
        <w:t>Proceso</w:t>
      </w:r>
    </w:p>
    <w:p w14:paraId="69D4C303" w14:textId="77777777" w:rsidR="00E56FC2" w:rsidRPr="00E56FC2" w:rsidRDefault="00161A7B" w:rsidP="00425AC7">
      <w:r w:rsidRPr="002C1173">
        <w:t>El proceso de autoevaluación tendrá las siguientes etapas:</w:t>
      </w:r>
    </w:p>
    <w:p w14:paraId="224A4340" w14:textId="77777777" w:rsidR="00E56FC2" w:rsidRDefault="00E56FC2" w:rsidP="00425AC7">
      <w:pPr>
        <w:rPr>
          <w:b/>
        </w:rPr>
      </w:pPr>
    </w:p>
    <w:p w14:paraId="1602BD14" w14:textId="77777777" w:rsidR="00E56FC2" w:rsidRDefault="00E56FC2" w:rsidP="00425AC7">
      <w:pPr>
        <w:rPr>
          <w:b/>
        </w:rPr>
      </w:pPr>
    </w:p>
    <w:p w14:paraId="021C5F0B" w14:textId="77777777" w:rsidR="00E56FC2" w:rsidRDefault="00E56FC2" w:rsidP="00425AC7">
      <w:pPr>
        <w:rPr>
          <w:b/>
        </w:rPr>
      </w:pPr>
    </w:p>
    <w:p w14:paraId="1576D402" w14:textId="77777777" w:rsidR="005C3F0C" w:rsidRDefault="002C1173" w:rsidP="00425AC7">
      <w:pPr>
        <w:rPr>
          <w:b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 wp14:anchorId="3561394F" wp14:editId="6DE063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58810" cy="3633849"/>
            <wp:effectExtent l="0" t="0" r="0" b="508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59"/>
                    <a:stretch/>
                  </pic:blipFill>
                  <pic:spPr bwMode="auto">
                    <a:xfrm>
                      <a:off x="0" y="0"/>
                      <a:ext cx="8258810" cy="3633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B00E40" w14:textId="77777777" w:rsidR="00E56FC2" w:rsidRDefault="00E56FC2" w:rsidP="00425AC7">
      <w:pPr>
        <w:rPr>
          <w:b/>
        </w:rPr>
      </w:pPr>
    </w:p>
    <w:p w14:paraId="1F1F563D" w14:textId="77777777" w:rsidR="00E56FC2" w:rsidRDefault="00E56FC2" w:rsidP="00E56FC2">
      <w:pPr>
        <w:pStyle w:val="Prrafodelista"/>
        <w:numPr>
          <w:ilvl w:val="2"/>
          <w:numId w:val="2"/>
        </w:numPr>
        <w:ind w:left="567" w:hanging="567"/>
        <w:rPr>
          <w:b/>
        </w:rPr>
      </w:pPr>
      <w:r>
        <w:rPr>
          <w:b/>
        </w:rPr>
        <w:t>Revisión de instrucciones y antecedentes</w:t>
      </w:r>
    </w:p>
    <w:p w14:paraId="103C235A" w14:textId="77777777" w:rsidR="005C3F0C" w:rsidRPr="00E56FC2" w:rsidRDefault="00B54743" w:rsidP="00425AC7">
      <w:r w:rsidRPr="00E56FC2">
        <w:t>Se deberán revisar las presentes instrucciones, junto con las herramientas que se utilizan para la autoevaluación:</w:t>
      </w:r>
    </w:p>
    <w:p w14:paraId="6E24E838" w14:textId="77777777" w:rsidR="00B819AA" w:rsidRDefault="00B54743" w:rsidP="00B819AA">
      <w:pPr>
        <w:pStyle w:val="Prrafodelista"/>
        <w:numPr>
          <w:ilvl w:val="0"/>
          <w:numId w:val="3"/>
        </w:numPr>
      </w:pPr>
      <w:r w:rsidRPr="00E56FC2">
        <w:t>Archivo Excel con el total de controles por dominio que se evaluarán</w:t>
      </w:r>
    </w:p>
    <w:p w14:paraId="18ED92D9" w14:textId="77777777" w:rsidR="00B54743" w:rsidRDefault="00B819AA" w:rsidP="00B819AA">
      <w:pPr>
        <w:pStyle w:val="Prrafodelista"/>
        <w:numPr>
          <w:ilvl w:val="0"/>
          <w:numId w:val="3"/>
        </w:numPr>
      </w:pPr>
      <w:r>
        <w:t>P</w:t>
      </w:r>
      <w:r w:rsidR="00E56FC2" w:rsidRPr="00E56FC2">
        <w:t>lataforma de encuestas de Minsal.</w:t>
      </w:r>
    </w:p>
    <w:p w14:paraId="6D2754E3" w14:textId="77777777" w:rsidR="0016374C" w:rsidRPr="00E56FC2" w:rsidRDefault="0016374C" w:rsidP="0016374C">
      <w:pPr>
        <w:pStyle w:val="Prrafodelista"/>
      </w:pPr>
    </w:p>
    <w:p w14:paraId="18F0824D" w14:textId="77777777" w:rsidR="00E56FC2" w:rsidRPr="00E56FC2" w:rsidRDefault="00B819AA" w:rsidP="0016374C">
      <w:pPr>
        <w:pStyle w:val="Prrafodelista"/>
        <w:numPr>
          <w:ilvl w:val="0"/>
          <w:numId w:val="6"/>
        </w:numPr>
      </w:pPr>
      <w:r>
        <w:t>Sobre e</w:t>
      </w:r>
      <w:r w:rsidR="00E56FC2" w:rsidRPr="00E56FC2">
        <w:t>l archivo Excel tiene la siguiente estructura:</w:t>
      </w:r>
    </w:p>
    <w:tbl>
      <w:tblPr>
        <w:tblW w:w="138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420"/>
        <w:gridCol w:w="1241"/>
        <w:gridCol w:w="1591"/>
        <w:gridCol w:w="1081"/>
        <w:gridCol w:w="1027"/>
        <w:gridCol w:w="1134"/>
        <w:gridCol w:w="1151"/>
        <w:gridCol w:w="1131"/>
        <w:gridCol w:w="1120"/>
        <w:gridCol w:w="1940"/>
      </w:tblGrid>
      <w:tr w:rsidR="00E56FC2" w:rsidRPr="002C3A94" w14:paraId="624D3E6D" w14:textId="77777777" w:rsidTr="003E1C2D">
        <w:trPr>
          <w:trHeight w:val="24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C384EF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N° Control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CFB12C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Identificación del control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CCB17D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Requisito de Control </w:t>
            </w:r>
            <w:proofErr w:type="spellStart"/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NCh</w:t>
            </w:r>
            <w:proofErr w:type="spellEnd"/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-ISO 27001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C1CD59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Verificación de Requisito de Control (extracto de NCH-ISO 27002  Of2013)</w:t>
            </w:r>
          </w:p>
        </w:tc>
        <w:tc>
          <w:tcPr>
            <w:tcW w:w="6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EF8700" w14:textId="77777777" w:rsidR="00E56FC2" w:rsidRPr="002C3A94" w:rsidRDefault="00E56FC2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NIVEL DE MADUREZ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21B09A2" w14:textId="77777777" w:rsidR="00E56FC2" w:rsidRPr="002C3A94" w:rsidRDefault="00E56FC2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Archivos Adjuntos</w:t>
            </w:r>
          </w:p>
        </w:tc>
      </w:tr>
      <w:tr w:rsidR="00E56FC2" w:rsidRPr="002C3A94" w14:paraId="3334A318" w14:textId="77777777" w:rsidTr="003E1C2D">
        <w:trPr>
          <w:trHeight w:val="24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CCBE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6A24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CE1B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B248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325125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0. Inexistente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5FBBE1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1. Básico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B76C7F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2. Práctica Repetible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CA221A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3. Proceso formalizado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8AEA61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4. Proceso Gestionado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4E6827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5. Proceso </w:t>
            </w:r>
            <w:proofErr w:type="spellStart"/>
            <w:r w:rsidRPr="002C3A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  <w:t>resiliente</w:t>
            </w:r>
            <w:proofErr w:type="spellEnd"/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CA3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E56FC2" w:rsidRPr="002C3A94" w14:paraId="2C1FEB6E" w14:textId="77777777" w:rsidTr="003E1C2D">
        <w:trPr>
          <w:trHeight w:val="12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D4F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A.05.01.02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5E28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REVISIÓN DE LAS POLÍTICAS PARA LA SEGURIDAD DE LA INFORMACIÓN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EFB0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deben revisar las políticas de seguridad de la información a intervalos planificados, o si se producen cambios significativos, para asegurar su conveniencia, suficiencia, y eficacia continuas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1ED88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Estas políticas deberían ser revisadas a intervalos regulares o cuando ocurran cambios que pudieran afectar su idoneidad, eficiencia y efectividad.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5E4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121A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61B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84C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182E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E32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03B5" w14:textId="77777777" w:rsidR="00E56FC2" w:rsidRPr="002C3A94" w:rsidRDefault="00E56FC2" w:rsidP="003E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2C3A9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5F97A909" w14:textId="77777777" w:rsidR="00E56FC2" w:rsidRDefault="00E56FC2" w:rsidP="00425AC7">
      <w:pPr>
        <w:rPr>
          <w:b/>
        </w:rPr>
      </w:pPr>
    </w:p>
    <w:p w14:paraId="583CA273" w14:textId="77777777" w:rsidR="00E56FC2" w:rsidRPr="0016374C" w:rsidRDefault="00B819AA" w:rsidP="0016374C">
      <w:pPr>
        <w:pStyle w:val="Prrafodelista"/>
        <w:numPr>
          <w:ilvl w:val="0"/>
          <w:numId w:val="4"/>
        </w:numPr>
        <w:rPr>
          <w:b/>
        </w:rPr>
      </w:pPr>
      <w:r w:rsidRPr="0016374C">
        <w:rPr>
          <w:b/>
        </w:rPr>
        <w:t xml:space="preserve">AREA GRIS: </w:t>
      </w:r>
      <w:r w:rsidRPr="00B819AA">
        <w:t>se indican los controles, junto con su identificación, requisito de la norma 27001 y las directrices de implementación de la Red de expertos del Ministerio del Interior.</w:t>
      </w:r>
    </w:p>
    <w:p w14:paraId="2930EA00" w14:textId="77777777" w:rsidR="0016374C" w:rsidRPr="0016374C" w:rsidRDefault="0016374C" w:rsidP="0016374C">
      <w:pPr>
        <w:pStyle w:val="Prrafodelista"/>
        <w:rPr>
          <w:b/>
        </w:rPr>
      </w:pPr>
    </w:p>
    <w:p w14:paraId="548DBBC5" w14:textId="77777777" w:rsidR="00B819AA" w:rsidRPr="0016374C" w:rsidRDefault="00B819AA" w:rsidP="00425AC7">
      <w:pPr>
        <w:pStyle w:val="Prrafodelista"/>
        <w:numPr>
          <w:ilvl w:val="0"/>
          <w:numId w:val="4"/>
        </w:numPr>
        <w:rPr>
          <w:b/>
        </w:rPr>
      </w:pPr>
      <w:r w:rsidRPr="0016374C">
        <w:rPr>
          <w:b/>
        </w:rPr>
        <w:t xml:space="preserve">AREA VERDE: </w:t>
      </w:r>
      <w:r w:rsidRPr="00B819AA">
        <w:t>niveles de madurez que deben ser identificados para cada control de la norma 27001, los distintos niveles de madurez están definidos en la siguiente tabla: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9072"/>
      </w:tblGrid>
      <w:tr w:rsidR="00B819AA" w:rsidRPr="00F95EFD" w14:paraId="4A4C8317" w14:textId="77777777" w:rsidTr="003E1C2D">
        <w:trPr>
          <w:trHeight w:val="510"/>
        </w:trPr>
        <w:tc>
          <w:tcPr>
            <w:tcW w:w="709" w:type="dxa"/>
            <w:shd w:val="clear" w:color="000000" w:fill="000000"/>
            <w:noWrap/>
            <w:vAlign w:val="center"/>
            <w:hideMark/>
          </w:tcPr>
          <w:p w14:paraId="5C695021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1276" w:type="dxa"/>
            <w:shd w:val="clear" w:color="000000" w:fill="000000"/>
            <w:noWrap/>
            <w:vAlign w:val="center"/>
            <w:hideMark/>
          </w:tcPr>
          <w:p w14:paraId="4F33DA7A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13516805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Nivel de Madurez</w:t>
            </w:r>
          </w:p>
        </w:tc>
        <w:tc>
          <w:tcPr>
            <w:tcW w:w="9072" w:type="dxa"/>
            <w:shd w:val="clear" w:color="000000" w:fill="000000"/>
            <w:vAlign w:val="center"/>
            <w:hideMark/>
          </w:tcPr>
          <w:p w14:paraId="3510384C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Características del Nivel</w:t>
            </w:r>
          </w:p>
        </w:tc>
      </w:tr>
      <w:tr w:rsidR="00B819AA" w:rsidRPr="00F95EFD" w14:paraId="61519C43" w14:textId="77777777" w:rsidTr="003E1C2D">
        <w:trPr>
          <w:trHeight w:val="4845"/>
        </w:trPr>
        <w:tc>
          <w:tcPr>
            <w:tcW w:w="709" w:type="dxa"/>
            <w:shd w:val="clear" w:color="000000" w:fill="002060"/>
            <w:vAlign w:val="center"/>
            <w:hideMark/>
          </w:tcPr>
          <w:p w14:paraId="744DEE22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lastRenderedPageBreak/>
              <w:t>5</w:t>
            </w:r>
          </w:p>
        </w:tc>
        <w:tc>
          <w:tcPr>
            <w:tcW w:w="1276" w:type="dxa"/>
            <w:shd w:val="clear" w:color="000000" w:fill="002060"/>
            <w:vAlign w:val="center"/>
            <w:hideMark/>
          </w:tcPr>
          <w:p w14:paraId="6CB573F4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</w:pPr>
            <w:proofErr w:type="spellStart"/>
            <w:r w:rsidRPr="00F95E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L"/>
              </w:rPr>
              <w:t>Resiliente</w:t>
            </w:r>
            <w:proofErr w:type="spell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82E3D2C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5 - Proceso </w:t>
            </w:r>
            <w:proofErr w:type="spellStart"/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Resiliente</w:t>
            </w:r>
            <w:proofErr w:type="spellEnd"/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14:paraId="70ED7941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 este nivel se busca que el proceso siga estando acorde a lo que requiere la Institución, no sólo para atender los actuales requerimientos; sino que permita su proyección al mediano y largo plazo.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Se agregan indicadores de Efectividad y Suficiencia, además de los de Operación y Gestión en general.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Se ha maximizado la automatización de las actividades relacionadas; existen evidencias periódicas de mejora continua.  Se analizan los indicadores a nivel estratégico y no sólo a nivel operativo y táctico.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Dado que la Optimización última no existe; si se debe apuntar a un perman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en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te nivel de mejora en la Calidad y Seguridad del proceso; integrando visiones estratégicas y de factibilidad futura; que permita ajustar el proceso a los cambios no sólo de la institución sino de todo su entorno, aportando a perpetuar la Institución. </w:t>
            </w:r>
          </w:p>
        </w:tc>
      </w:tr>
      <w:tr w:rsidR="00B819AA" w:rsidRPr="00F95EFD" w14:paraId="7D630064" w14:textId="77777777" w:rsidTr="003E1C2D">
        <w:trPr>
          <w:trHeight w:val="3060"/>
        </w:trPr>
        <w:tc>
          <w:tcPr>
            <w:tcW w:w="709" w:type="dxa"/>
            <w:shd w:val="clear" w:color="000000" w:fill="2F75B5"/>
            <w:vAlign w:val="center"/>
            <w:hideMark/>
          </w:tcPr>
          <w:p w14:paraId="12E494AD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276" w:type="dxa"/>
            <w:shd w:val="clear" w:color="000000" w:fill="2F75B5"/>
            <w:vAlign w:val="center"/>
            <w:hideMark/>
          </w:tcPr>
          <w:p w14:paraId="66287E9F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Gestionado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A8E886E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4 - Proceso Gestionado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14:paraId="0914C8AB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Se ha implementado un Proceso de Gestión de Mejora Continua para la formalización previa, por ejemplo basada en Ciclo PDCA de DEMING; donde se reconoce que no basta el Planificar y Ejecutar; sino que se requieren instancias de control permanente que implementen acciones de monitoreo, revisión y auditoria para identificar acciones de mejora.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 xml:space="preserve">Es posible monitorear y medir el cumplimiento de lo que se ha formalizado como proceso, incluyendo la ejecución adecuada de los procedimientos planteados.  Permite identificar </w:t>
            </w:r>
            <w:proofErr w:type="spellStart"/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GAPs</w:t>
            </w:r>
            <w:proofErr w:type="spellEnd"/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; Brechas; Debilidades; Atrasos; Costos y otras variables que podrían activar </w:t>
            </w:r>
            <w:proofErr w:type="spellStart"/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KPIs</w:t>
            </w:r>
            <w:proofErr w:type="spellEnd"/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necesarios de vigilar en el tiempo.</w:t>
            </w:r>
          </w:p>
        </w:tc>
      </w:tr>
      <w:tr w:rsidR="00B819AA" w:rsidRPr="00F95EFD" w14:paraId="1DEA9825" w14:textId="77777777" w:rsidTr="003E1C2D">
        <w:trPr>
          <w:trHeight w:val="5355"/>
        </w:trPr>
        <w:tc>
          <w:tcPr>
            <w:tcW w:w="709" w:type="dxa"/>
            <w:shd w:val="clear" w:color="000000" w:fill="BDD7EE"/>
            <w:vAlign w:val="center"/>
            <w:hideMark/>
          </w:tcPr>
          <w:p w14:paraId="5A12E5FA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3</w:t>
            </w:r>
          </w:p>
        </w:tc>
        <w:tc>
          <w:tcPr>
            <w:tcW w:w="1276" w:type="dxa"/>
            <w:shd w:val="clear" w:color="000000" w:fill="BDD7EE"/>
            <w:vAlign w:val="center"/>
            <w:hideMark/>
          </w:tcPr>
          <w:p w14:paraId="220D8628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Formalizado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7BE07A4E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3 - Proceso Formalizado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14:paraId="6DC0F101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Existe un proceso que se puede catalogar como documentado y formalizado.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El proceso posee un nombre, cierta codificación.  Se identifican otros procesos relacionados, sus subprocesos, actividades y o tareas.  Se detallan los recursos necesarios, así como los roles de los participantes y se designan sus responsabilidades (por ejemplo con tablas RACI).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Se señalan los flujos de decisiones, así como la prioridad de las acciones.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Se formalizan el quehacer concreto o práctica existente, mediante documentos oficiales, que podría incluir: Diagramas de flujo, Organigramas, Procedimientos, Instructivos y Formularios.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Se mantiene la documentación del proceso como gran hito; pero no tiene mayor visibilidad sistémica para el resto de la institución; ni menos se piensa en su mejora continua u optimización.</w:t>
            </w:r>
          </w:p>
        </w:tc>
      </w:tr>
      <w:tr w:rsidR="00B819AA" w:rsidRPr="00F95EFD" w14:paraId="4D7DDDDB" w14:textId="77777777" w:rsidTr="003E1C2D">
        <w:trPr>
          <w:trHeight w:val="4590"/>
        </w:trPr>
        <w:tc>
          <w:tcPr>
            <w:tcW w:w="709" w:type="dxa"/>
            <w:shd w:val="clear" w:color="000000" w:fill="FFFF00"/>
            <w:vAlign w:val="center"/>
            <w:hideMark/>
          </w:tcPr>
          <w:p w14:paraId="4BDB82C1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2</w:t>
            </w:r>
          </w:p>
        </w:tc>
        <w:tc>
          <w:tcPr>
            <w:tcW w:w="1276" w:type="dxa"/>
            <w:shd w:val="clear" w:color="000000" w:fill="FFFF00"/>
            <w:vAlign w:val="center"/>
            <w:hideMark/>
          </w:tcPr>
          <w:p w14:paraId="3F34129C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Repetible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BBAC51C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2 - Práctica Repetible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14:paraId="5728A63A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Existen acuerdos informales entre pares que han tenido que atender alguna situación similar, comenzando a establecer una "práctica común" para situaciones conocidas.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No se ha desarrollado un análisis como proceso, no se reconocen recursos necesarios, costos, roles o responsabilidades formales.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Existe un acuerdo informal de la "práctica", no existiendo una formalización del procedimiento, es más, no se reconoce como tal; sino sólo como una forma común de realizar tareas o actividades.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Es muy dependiente de qué interprete cada persona distinta respecto del Qué se debe hacer, ya que no detalla el Cómo.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+E7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No se realizan actividades de seguimiento, no existe planificación formal, cada respuesta es propia del caso.</w:t>
            </w:r>
          </w:p>
        </w:tc>
      </w:tr>
      <w:tr w:rsidR="00B819AA" w:rsidRPr="00F95EFD" w14:paraId="362A8A6E" w14:textId="77777777" w:rsidTr="003E1C2D">
        <w:trPr>
          <w:trHeight w:val="4845"/>
        </w:trPr>
        <w:tc>
          <w:tcPr>
            <w:tcW w:w="709" w:type="dxa"/>
            <w:shd w:val="clear" w:color="000000" w:fill="FFC000"/>
            <w:vAlign w:val="center"/>
            <w:hideMark/>
          </w:tcPr>
          <w:p w14:paraId="70B4EBC7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lastRenderedPageBreak/>
              <w:t>1</w:t>
            </w:r>
          </w:p>
        </w:tc>
        <w:tc>
          <w:tcPr>
            <w:tcW w:w="1276" w:type="dxa"/>
            <w:shd w:val="clear" w:color="000000" w:fill="FFC000"/>
            <w:vAlign w:val="center"/>
            <w:hideMark/>
          </w:tcPr>
          <w:p w14:paraId="67C62D99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Básico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38D02D9C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1 - Básico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14:paraId="25728A26" w14:textId="77777777" w:rsidR="00B819AA" w:rsidRPr="00F95EFD" w:rsidRDefault="00B819AA" w:rsidP="003E1C2D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Existe evidencia que la institución, o ciertos colaboradores en forma aislada, han reconocido que existe cierto problema o situación pendiente y se requiere alguna forma de solucionarlo.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 xml:space="preserve">Sin embargo; no existe un proceso declarado, menos aún formal, tampoco acuerdos de actividades concretas necesarias.   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Lo que surge y se puede constatar es que algunas veces, se han realizado esfuerzos particulares, con un enfoques ad-hoc a la instancia a resolver y muy dependiente de quien la ejecuta.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Sin un protocolo o acuerdo establecido han existido situaciones en que en forma individual y muy casuística se ha abordado el tema.</w:t>
            </w:r>
          </w:p>
        </w:tc>
      </w:tr>
      <w:tr w:rsidR="00B819AA" w:rsidRPr="00F95EFD" w14:paraId="59CB0CBB" w14:textId="77777777" w:rsidTr="003E1C2D">
        <w:trPr>
          <w:trHeight w:val="1785"/>
        </w:trPr>
        <w:tc>
          <w:tcPr>
            <w:tcW w:w="709" w:type="dxa"/>
            <w:shd w:val="clear" w:color="000000" w:fill="FF0000"/>
            <w:vAlign w:val="center"/>
            <w:hideMark/>
          </w:tcPr>
          <w:p w14:paraId="190D6166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276" w:type="dxa"/>
            <w:shd w:val="clear" w:color="000000" w:fill="FF0000"/>
            <w:vAlign w:val="center"/>
            <w:hideMark/>
          </w:tcPr>
          <w:p w14:paraId="315E4BD0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Inexistente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98F4887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0 - Inexistencia</w:t>
            </w:r>
          </w:p>
        </w:tc>
        <w:tc>
          <w:tcPr>
            <w:tcW w:w="9072" w:type="dxa"/>
            <w:shd w:val="clear" w:color="000000" w:fill="FFFFFF"/>
            <w:vAlign w:val="center"/>
            <w:hideMark/>
          </w:tcPr>
          <w:p w14:paraId="58DE0DFA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Carencia completa de cualquier proceso reconocible. 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No se ha generado a nivel de institución, ni de colaboradores, un reconocimiento ni acción que se señale se deba hacer algo respecto al tema.</w:t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</w:r>
            <w:r w:rsidRPr="00F95EF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br/>
              <w:t>No existe visibilidad del problema a resolver.</w:t>
            </w:r>
          </w:p>
        </w:tc>
      </w:tr>
    </w:tbl>
    <w:p w14:paraId="5DB444C3" w14:textId="77777777" w:rsidR="00B819AA" w:rsidRDefault="00B819AA" w:rsidP="00425AC7">
      <w:pPr>
        <w:rPr>
          <w:b/>
        </w:rPr>
      </w:pPr>
    </w:p>
    <w:p w14:paraId="67BEDD15" w14:textId="77777777" w:rsidR="00B819AA" w:rsidRDefault="00B819AA" w:rsidP="00425AC7">
      <w:pPr>
        <w:rPr>
          <w:b/>
        </w:rPr>
      </w:pPr>
      <w:r>
        <w:rPr>
          <w:b/>
        </w:rPr>
        <w:t>Para evaluar el nivel de madurez que tiene cada control se deben revisar las siguientes variables:</w:t>
      </w:r>
    </w:p>
    <w:tbl>
      <w:tblPr>
        <w:tblW w:w="13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180"/>
        <w:gridCol w:w="2180"/>
        <w:gridCol w:w="2180"/>
        <w:gridCol w:w="2180"/>
        <w:gridCol w:w="2180"/>
      </w:tblGrid>
      <w:tr w:rsidR="00B819AA" w:rsidRPr="00F95EFD" w14:paraId="1C3523B1" w14:textId="77777777" w:rsidTr="003E1C2D">
        <w:trPr>
          <w:trHeight w:val="255"/>
        </w:trPr>
        <w:tc>
          <w:tcPr>
            <w:tcW w:w="2340" w:type="dxa"/>
            <w:shd w:val="clear" w:color="000000" w:fill="000000"/>
            <w:noWrap/>
            <w:vAlign w:val="center"/>
            <w:hideMark/>
          </w:tcPr>
          <w:p w14:paraId="20344C37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L"/>
              </w:rPr>
              <w:t>Nivel de Madurez</w:t>
            </w:r>
          </w:p>
        </w:tc>
        <w:tc>
          <w:tcPr>
            <w:tcW w:w="2180" w:type="dxa"/>
            <w:shd w:val="clear" w:color="000000" w:fill="92D050"/>
            <w:noWrap/>
            <w:vAlign w:val="center"/>
            <w:hideMark/>
          </w:tcPr>
          <w:p w14:paraId="115CAECD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Cultura</w:t>
            </w:r>
          </w:p>
        </w:tc>
        <w:tc>
          <w:tcPr>
            <w:tcW w:w="2180" w:type="dxa"/>
            <w:shd w:val="clear" w:color="000000" w:fill="92D050"/>
            <w:noWrap/>
            <w:vAlign w:val="center"/>
            <w:hideMark/>
          </w:tcPr>
          <w:p w14:paraId="2BAAB9A1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Documentación</w:t>
            </w:r>
          </w:p>
        </w:tc>
        <w:tc>
          <w:tcPr>
            <w:tcW w:w="2180" w:type="dxa"/>
            <w:shd w:val="clear" w:color="000000" w:fill="92D050"/>
            <w:noWrap/>
            <w:vAlign w:val="center"/>
            <w:hideMark/>
          </w:tcPr>
          <w:p w14:paraId="4FA01015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  <w:tc>
          <w:tcPr>
            <w:tcW w:w="2180" w:type="dxa"/>
            <w:shd w:val="clear" w:color="000000" w:fill="92D050"/>
            <w:noWrap/>
            <w:vAlign w:val="center"/>
            <w:hideMark/>
          </w:tcPr>
          <w:p w14:paraId="4A95D11E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Roles y Responsabilidades</w:t>
            </w:r>
          </w:p>
        </w:tc>
        <w:tc>
          <w:tcPr>
            <w:tcW w:w="2180" w:type="dxa"/>
            <w:shd w:val="clear" w:color="000000" w:fill="92D050"/>
            <w:noWrap/>
            <w:vAlign w:val="center"/>
            <w:hideMark/>
          </w:tcPr>
          <w:p w14:paraId="70843D6B" w14:textId="77777777" w:rsidR="00B819AA" w:rsidRPr="00F95EFD" w:rsidRDefault="00B819AA" w:rsidP="003E1C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Tecnología</w:t>
            </w:r>
          </w:p>
        </w:tc>
      </w:tr>
      <w:tr w:rsidR="00B819AA" w:rsidRPr="00F95EFD" w14:paraId="589434E2" w14:textId="77777777" w:rsidTr="003E1C2D">
        <w:trPr>
          <w:trHeight w:val="5280"/>
        </w:trPr>
        <w:tc>
          <w:tcPr>
            <w:tcW w:w="2340" w:type="dxa"/>
            <w:shd w:val="clear" w:color="000000" w:fill="FFFFFF"/>
            <w:vAlign w:val="center"/>
            <w:hideMark/>
          </w:tcPr>
          <w:p w14:paraId="3DA6ED7B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lastRenderedPageBreak/>
              <w:t xml:space="preserve">5 - Proceso </w:t>
            </w:r>
            <w:proofErr w:type="spellStart"/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Resiliente</w:t>
            </w:r>
            <w:proofErr w:type="spellEnd"/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47F159A8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Existe criterio común de mejorar el proceso y está fuertemente arraigado en la cultura de la institución, adaptándose a los cambios del entorno.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110950EF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El contenido del documento se somete a revisiones periódicas, contrastándolo con casos extremos y particulares, para hacerlo más completo y robusto.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2D729E91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registran los resultados del proceso; para mantener trazabilidad y realizar análisis de tendencias.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2139EDEE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Además de su actualización, existe revisión de conflicto de intereses y separación de funciones en la gestión de roles y responsabilidades.  Se analizan cada vez que se analiza algún cambio mayor, presente o en planificación.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4669815A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La tecnología es parte integral del proceso y como tal, se proyecta su innovación junto con el análisis de nuevas tendencias y ajustes del proceso.</w:t>
            </w:r>
          </w:p>
        </w:tc>
      </w:tr>
      <w:tr w:rsidR="00B819AA" w:rsidRPr="00F95EFD" w14:paraId="44E04127" w14:textId="77777777" w:rsidTr="003E1C2D">
        <w:trPr>
          <w:trHeight w:val="4320"/>
        </w:trPr>
        <w:tc>
          <w:tcPr>
            <w:tcW w:w="2340" w:type="dxa"/>
            <w:shd w:val="clear" w:color="000000" w:fill="FFFFFF"/>
            <w:vAlign w:val="center"/>
            <w:hideMark/>
          </w:tcPr>
          <w:p w14:paraId="48BD9E1D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lastRenderedPageBreak/>
              <w:t>4 - Proceso Gestionado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D679A79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La forma de ejecutar el proceso ya es parte de la cultura de la institución.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7A9DE8EC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Hay evidencias concretas que el documento que referencia al proceso ha sido actualizado.  Existe control y sobre las versiones y su distribución.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16FDA531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registran los resultados del proceso; para mantener trazabilidad y realizar análisis de tendencias.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1BB6FB3B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Los roles y sus responsabilidades se han revisado y ajustado al menos anualmente.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55D0C346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Existe control de versiones, de distribución de las herramientas tecnológicas y </w:t>
            </w:r>
            <w:proofErr w:type="spellStart"/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versionamiento</w:t>
            </w:r>
            <w:proofErr w:type="spellEnd"/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 xml:space="preserve"> de sus manuales.  Se controlan los pasos a producción de nuevas versiones.</w:t>
            </w:r>
          </w:p>
        </w:tc>
      </w:tr>
      <w:tr w:rsidR="00B819AA" w:rsidRPr="00F95EFD" w14:paraId="2FD2C687" w14:textId="77777777" w:rsidTr="003E1C2D">
        <w:trPr>
          <w:trHeight w:val="4080"/>
        </w:trPr>
        <w:tc>
          <w:tcPr>
            <w:tcW w:w="2340" w:type="dxa"/>
            <w:shd w:val="clear" w:color="000000" w:fill="FFFFFF"/>
            <w:vAlign w:val="center"/>
            <w:hideMark/>
          </w:tcPr>
          <w:p w14:paraId="6A303E25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3 - Proceso Formalizado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57CD0E7F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comparte formalmente para toda la institución la manera de desarrollar el proceso, para que todos la conozcan.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70B1FE0B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Existe un documento que referencia al proceso y sus actividades; así como roles y responsabilidades.  No se identifican señales de actualización permanente.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776BD904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registran los resultados del proceso; para mantener trazabilidad en el tiempo.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7F715361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formalizan los roles involucrados, su jerarquía estratégica, táctica y operacional; asimismo están claramente establecidas las responsabilidades de cada uno de ellos.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3998A3DA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he estandarizado una tecnología con una configuración dada y se define un procedimiento para su uso.</w:t>
            </w:r>
          </w:p>
        </w:tc>
      </w:tr>
      <w:tr w:rsidR="00B819AA" w:rsidRPr="00F95EFD" w14:paraId="5058B21F" w14:textId="77777777" w:rsidTr="003E1C2D">
        <w:trPr>
          <w:trHeight w:val="3600"/>
        </w:trPr>
        <w:tc>
          <w:tcPr>
            <w:tcW w:w="2340" w:type="dxa"/>
            <w:shd w:val="clear" w:color="000000" w:fill="FFFFFF"/>
            <w:vAlign w:val="center"/>
            <w:hideMark/>
          </w:tcPr>
          <w:p w14:paraId="4416E4D6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lastRenderedPageBreak/>
              <w:t>2 - Práctica Repetible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D55BDA2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comparte sólo entre algunos usuarios involucrados la forma de hacer actividades comunes.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D58CC2A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Si bien no se encuentra un documento asociado al proceso, diferentes personas señalan la misma forma de ejecutar las actividades consultadas.</w:t>
            </w:r>
          </w:p>
        </w:tc>
        <w:tc>
          <w:tcPr>
            <w:tcW w:w="2180" w:type="dxa"/>
            <w:shd w:val="clear" w:color="000000" w:fill="BFBFBF"/>
            <w:vAlign w:val="center"/>
            <w:hideMark/>
          </w:tcPr>
          <w:p w14:paraId="729D38B4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Las acciones del proceso se registras entre los involucrados de forma estandarizada y/o centralizada; a pesar de no existir un documento formal.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4953C3E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Existe acuerdo informal en la distribución de las funciones y se respetan las responsabilidades asociadas; sin mayor cuestionamiento.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C34CAE6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Se ha comenzado a usar una cierta tecnología sin un mayor cuestionamiento.</w:t>
            </w:r>
          </w:p>
        </w:tc>
      </w:tr>
      <w:tr w:rsidR="00B819AA" w:rsidRPr="00F95EFD" w14:paraId="34089400" w14:textId="77777777" w:rsidTr="003E1C2D">
        <w:trPr>
          <w:trHeight w:val="2400"/>
        </w:trPr>
        <w:tc>
          <w:tcPr>
            <w:tcW w:w="2340" w:type="dxa"/>
            <w:shd w:val="clear" w:color="000000" w:fill="FFFFFF"/>
            <w:vAlign w:val="center"/>
            <w:hideMark/>
          </w:tcPr>
          <w:p w14:paraId="75B61D8F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1 - Básico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6698F008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Cada usuario con su propia idea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43D5121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Cuando se ha preguntado, no hay documentación, cada persona involucrada responde algo distinto.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F5E19E3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Cada persona tiene su propia forma de registras las cosas.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2813C41A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 existe definición.  Cada persona asume el rol y responsabilidades que estime conveniente.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956DA7C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Cada persona busca la tecnología que más le cómoda.</w:t>
            </w:r>
          </w:p>
        </w:tc>
      </w:tr>
      <w:tr w:rsidR="00B819AA" w:rsidRPr="00F95EFD" w14:paraId="2648FDFF" w14:textId="77777777" w:rsidTr="003E1C2D">
        <w:trPr>
          <w:trHeight w:val="2400"/>
        </w:trPr>
        <w:tc>
          <w:tcPr>
            <w:tcW w:w="2340" w:type="dxa"/>
            <w:shd w:val="clear" w:color="000000" w:fill="FFFFFF"/>
            <w:vAlign w:val="center"/>
            <w:hideMark/>
          </w:tcPr>
          <w:p w14:paraId="48228C61" w14:textId="77777777" w:rsidR="00B819AA" w:rsidRPr="00F95EFD" w:rsidRDefault="00B819AA" w:rsidP="003E1C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F95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0 - Inexistencia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07050E8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 es un tema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1FDCD529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 hay documentación referida al proceso.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75EA498D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 existe.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3814A740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 existe.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14:paraId="0B611400" w14:textId="77777777" w:rsidR="00B819AA" w:rsidRPr="00F95EFD" w:rsidRDefault="00B819AA" w:rsidP="003E1C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  <w:r w:rsidRPr="00F95EF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  <w:t>No existe como un recurso pensado para el proceso.  Si está presente es sólo un caso fortuito.</w:t>
            </w:r>
          </w:p>
        </w:tc>
      </w:tr>
    </w:tbl>
    <w:p w14:paraId="5944E9BD" w14:textId="77777777" w:rsidR="00B819AA" w:rsidRDefault="00B819AA" w:rsidP="00425AC7">
      <w:pPr>
        <w:rPr>
          <w:b/>
        </w:rPr>
      </w:pPr>
    </w:p>
    <w:p w14:paraId="43C7EA27" w14:textId="77777777" w:rsidR="00B819AA" w:rsidRPr="0016374C" w:rsidRDefault="00B819AA" w:rsidP="00425AC7">
      <w:r w:rsidRPr="0016374C">
        <w:lastRenderedPageBreak/>
        <w:t>Según el grado de cumplimiento de las variables se indicará el nivel de madurez que tiene el control en la institución.</w:t>
      </w:r>
      <w:r w:rsidR="0016374C" w:rsidRPr="0016374C">
        <w:t xml:space="preserve"> </w:t>
      </w:r>
      <w:r w:rsidR="0016374C" w:rsidRPr="00C35C16">
        <w:rPr>
          <w:b/>
        </w:rPr>
        <w:t>Las variables marcadas en gris, requieren que se evidencie su implementación</w:t>
      </w:r>
      <w:r w:rsidR="0016374C" w:rsidRPr="0016374C">
        <w:t xml:space="preserve"> mediante, políticas, procedimientos, documentos, junto con los registros que den cuenta de su operación.</w:t>
      </w:r>
    </w:p>
    <w:p w14:paraId="676EA29F" w14:textId="77777777" w:rsidR="0016374C" w:rsidRDefault="0016374C" w:rsidP="0016374C">
      <w:pPr>
        <w:pStyle w:val="Prrafodelista"/>
        <w:numPr>
          <w:ilvl w:val="0"/>
          <w:numId w:val="5"/>
        </w:numPr>
        <w:rPr>
          <w:b/>
        </w:rPr>
      </w:pPr>
      <w:r w:rsidRPr="0016374C">
        <w:rPr>
          <w:b/>
        </w:rPr>
        <w:t xml:space="preserve">AREA </w:t>
      </w:r>
      <w:r>
        <w:rPr>
          <w:b/>
        </w:rPr>
        <w:t>AMARILLA</w:t>
      </w:r>
      <w:r w:rsidRPr="0016374C">
        <w:rPr>
          <w:b/>
        </w:rPr>
        <w:t xml:space="preserve">: </w:t>
      </w:r>
      <w:r w:rsidRPr="00C35C16">
        <w:t>se deben indicar los nombres de los archivos que dan cuenta de su implementación.</w:t>
      </w:r>
      <w:r>
        <w:rPr>
          <w:b/>
        </w:rPr>
        <w:t xml:space="preserve"> </w:t>
      </w:r>
    </w:p>
    <w:p w14:paraId="1A61A068" w14:textId="77777777" w:rsidR="0016374C" w:rsidRPr="0016374C" w:rsidRDefault="0016374C" w:rsidP="0016374C">
      <w:pPr>
        <w:pStyle w:val="Prrafodelista"/>
      </w:pPr>
    </w:p>
    <w:p w14:paraId="2E5365D0" w14:textId="77777777" w:rsidR="00B819AA" w:rsidRPr="0016374C" w:rsidRDefault="0016374C" w:rsidP="0016374C">
      <w:pPr>
        <w:pStyle w:val="Prrafodelista"/>
        <w:numPr>
          <w:ilvl w:val="0"/>
          <w:numId w:val="6"/>
        </w:numPr>
      </w:pPr>
      <w:r w:rsidRPr="0016374C">
        <w:t xml:space="preserve">Sobre la </w:t>
      </w:r>
      <w:r>
        <w:t>P</w:t>
      </w:r>
      <w:r w:rsidRPr="00E56FC2">
        <w:t>lataforma de encuestas de Minsal</w:t>
      </w:r>
      <w:r>
        <w:t>, se encuentra disponible en:</w:t>
      </w:r>
    </w:p>
    <w:commentRangeStart w:id="0"/>
    <w:p w14:paraId="5075A099" w14:textId="77777777" w:rsidR="00C35C16" w:rsidRDefault="00142514" w:rsidP="00C35C16">
      <w:pPr>
        <w:pStyle w:val="Prrafodelista"/>
      </w:pPr>
      <w:r w:rsidRPr="004D6884">
        <w:rPr>
          <w:highlight w:val="yellow"/>
        </w:rPr>
        <w:fldChar w:fldCharType="begin"/>
      </w:r>
      <w:r w:rsidRPr="004D6884">
        <w:rPr>
          <w:highlight w:val="yellow"/>
        </w:rPr>
        <w:instrText xml:space="preserve"> HYPERLINK "https://encuestas.minsal.cl" </w:instrText>
      </w:r>
      <w:r w:rsidRPr="004D6884">
        <w:rPr>
          <w:highlight w:val="yellow"/>
        </w:rPr>
        <w:fldChar w:fldCharType="separate"/>
      </w:r>
      <w:r w:rsidR="00C35C16" w:rsidRPr="004D6884">
        <w:rPr>
          <w:rStyle w:val="Hipervnculo"/>
          <w:highlight w:val="yellow"/>
        </w:rPr>
        <w:t>https://encuestas.minsal.cl</w:t>
      </w:r>
      <w:r w:rsidRPr="004D6884">
        <w:rPr>
          <w:rStyle w:val="Hipervnculo"/>
          <w:highlight w:val="yellow"/>
        </w:rPr>
        <w:fldChar w:fldCharType="end"/>
      </w:r>
      <w:commentRangeEnd w:id="0"/>
      <w:r w:rsidR="004D6884">
        <w:rPr>
          <w:rStyle w:val="Refdecomentario"/>
        </w:rPr>
        <w:commentReference w:id="0"/>
      </w:r>
      <w:r w:rsidR="00C35C16">
        <w:t xml:space="preserve"> -&gt; </w:t>
      </w:r>
      <w:r w:rsidR="00C35C16" w:rsidRPr="009D7AAA">
        <w:t>Autoevaluación ISO27001</w:t>
      </w:r>
    </w:p>
    <w:p w14:paraId="4B9EE4B9" w14:textId="77777777" w:rsidR="00C35C16" w:rsidRDefault="00C35C16" w:rsidP="00C35C16">
      <w:pPr>
        <w:pStyle w:val="Prrafodelista"/>
      </w:pPr>
    </w:p>
    <w:p w14:paraId="29B97090" w14:textId="77777777" w:rsidR="00C35C16" w:rsidRDefault="00C35C16" w:rsidP="00C35C16">
      <w:pPr>
        <w:pStyle w:val="Prrafodelista"/>
      </w:pPr>
      <w:r>
        <w:rPr>
          <w:noProof/>
          <w:lang w:eastAsia="es-CL"/>
        </w:rPr>
        <w:drawing>
          <wp:inline distT="0" distB="0" distL="0" distR="0" wp14:anchorId="5464F3A6" wp14:editId="3FE40EA2">
            <wp:extent cx="6134100" cy="286424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6977" cy="286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0189B" w14:textId="77777777" w:rsidR="00C35C16" w:rsidRDefault="00C35C16" w:rsidP="00C35C16">
      <w:pPr>
        <w:pStyle w:val="Prrafodelista"/>
      </w:pPr>
      <w:r>
        <w:rPr>
          <w:noProof/>
          <w:lang w:eastAsia="es-CL"/>
        </w:rPr>
        <w:lastRenderedPageBreak/>
        <w:drawing>
          <wp:inline distT="0" distB="0" distL="0" distR="0" wp14:anchorId="2B1222D6" wp14:editId="71CF383E">
            <wp:extent cx="6362700" cy="2933319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64431" cy="293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CD969" w14:textId="77777777" w:rsidR="00E56FC2" w:rsidRDefault="00E56FC2" w:rsidP="00425AC7">
      <w:pPr>
        <w:rPr>
          <w:b/>
        </w:rPr>
      </w:pPr>
    </w:p>
    <w:p w14:paraId="210D6897" w14:textId="77777777" w:rsidR="005C3F0C" w:rsidRDefault="005C3F0C" w:rsidP="00E56FC2">
      <w:pPr>
        <w:pStyle w:val="Prrafodelista"/>
        <w:numPr>
          <w:ilvl w:val="2"/>
          <w:numId w:val="2"/>
        </w:numPr>
        <w:ind w:left="567" w:hanging="567"/>
        <w:rPr>
          <w:b/>
        </w:rPr>
      </w:pPr>
      <w:r>
        <w:rPr>
          <w:b/>
        </w:rPr>
        <w:t>Programación de la autoevaluación</w:t>
      </w:r>
    </w:p>
    <w:p w14:paraId="1A721B5C" w14:textId="77777777" w:rsidR="005C3F0C" w:rsidRPr="00C35C16" w:rsidRDefault="00C35C16" w:rsidP="00425AC7">
      <w:r w:rsidRPr="00C35C16">
        <w:t>La autoevaluación, considera diferentes dominios de la norma 27001, por lo que tendrán que distintas áreas deberán revisar los diferentes dominios de la norma, según lo definido en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1960"/>
        <w:gridCol w:w="4678"/>
      </w:tblGrid>
      <w:tr w:rsidR="00C35C16" w14:paraId="77D8B34B" w14:textId="77777777" w:rsidTr="003E1C2D">
        <w:tc>
          <w:tcPr>
            <w:tcW w:w="4414" w:type="dxa"/>
          </w:tcPr>
          <w:p w14:paraId="26905C3C" w14:textId="77777777" w:rsidR="00C35C16" w:rsidRPr="00F95EFD" w:rsidRDefault="00C35C16" w:rsidP="003E1C2D">
            <w:pPr>
              <w:rPr>
                <w:b/>
              </w:rPr>
            </w:pPr>
            <w:r w:rsidRPr="00F95EFD">
              <w:rPr>
                <w:b/>
              </w:rPr>
              <w:t>DOMINIO</w:t>
            </w:r>
          </w:p>
        </w:tc>
        <w:tc>
          <w:tcPr>
            <w:tcW w:w="1960" w:type="dxa"/>
          </w:tcPr>
          <w:p w14:paraId="0B2F2C09" w14:textId="77777777" w:rsidR="00C35C16" w:rsidRPr="00F95EFD" w:rsidRDefault="00C35C16" w:rsidP="003E1C2D">
            <w:pPr>
              <w:jc w:val="center"/>
              <w:rPr>
                <w:b/>
              </w:rPr>
            </w:pPr>
            <w:r w:rsidRPr="00F95EFD">
              <w:rPr>
                <w:b/>
              </w:rPr>
              <w:t>N° DE CONTROLES</w:t>
            </w:r>
          </w:p>
        </w:tc>
        <w:tc>
          <w:tcPr>
            <w:tcW w:w="4678" w:type="dxa"/>
          </w:tcPr>
          <w:p w14:paraId="2BB91EA0" w14:textId="77777777" w:rsidR="00C35C16" w:rsidRPr="00F95EFD" w:rsidRDefault="00C35C16" w:rsidP="003E1C2D">
            <w:pPr>
              <w:jc w:val="center"/>
              <w:rPr>
                <w:b/>
              </w:rPr>
            </w:pPr>
            <w:r>
              <w:rPr>
                <w:b/>
              </w:rPr>
              <w:t>RESPONSABLES</w:t>
            </w:r>
          </w:p>
        </w:tc>
      </w:tr>
      <w:tr w:rsidR="00C35C16" w14:paraId="2DD20C67" w14:textId="77777777" w:rsidTr="003E1C2D">
        <w:tc>
          <w:tcPr>
            <w:tcW w:w="4414" w:type="dxa"/>
          </w:tcPr>
          <w:p w14:paraId="4F6335E9" w14:textId="77777777" w:rsidR="00C35C16" w:rsidRDefault="00C35C16" w:rsidP="003E1C2D">
            <w:r w:rsidRPr="00773346">
              <w:t>5 Política</w:t>
            </w:r>
            <w:r>
              <w:t>s de seguridad de la información</w:t>
            </w:r>
          </w:p>
        </w:tc>
        <w:tc>
          <w:tcPr>
            <w:tcW w:w="1960" w:type="dxa"/>
          </w:tcPr>
          <w:p w14:paraId="2C181A9D" w14:textId="77777777" w:rsidR="00C35C16" w:rsidRDefault="00C35C16" w:rsidP="003E1C2D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33C1D340" w14:textId="77777777" w:rsidR="00C35C16" w:rsidRDefault="00C35C16" w:rsidP="003E1C2D">
            <w:pPr>
              <w:jc w:val="center"/>
            </w:pPr>
            <w:r>
              <w:t>Comité de Seguridad / Encargado de Seguridad</w:t>
            </w:r>
          </w:p>
        </w:tc>
      </w:tr>
      <w:tr w:rsidR="00C35C16" w14:paraId="3CEADCC8" w14:textId="77777777" w:rsidTr="003E1C2D">
        <w:tc>
          <w:tcPr>
            <w:tcW w:w="4414" w:type="dxa"/>
          </w:tcPr>
          <w:p w14:paraId="6E329033" w14:textId="77777777" w:rsidR="00C35C16" w:rsidRDefault="00C35C16" w:rsidP="003E1C2D">
            <w:r w:rsidRPr="00773346">
              <w:t>6 Organización de la Seguridad de la Información</w:t>
            </w:r>
          </w:p>
        </w:tc>
        <w:tc>
          <w:tcPr>
            <w:tcW w:w="1960" w:type="dxa"/>
          </w:tcPr>
          <w:p w14:paraId="24D2EAFE" w14:textId="77777777" w:rsidR="00C35C16" w:rsidRDefault="00C35C16" w:rsidP="003E1C2D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14:paraId="4A8DCC7E" w14:textId="77777777" w:rsidR="00C35C16" w:rsidRDefault="00C35C16" w:rsidP="003E1C2D">
            <w:pPr>
              <w:jc w:val="center"/>
            </w:pPr>
            <w:r>
              <w:t>Comité de Seguridad / Encargado de Seguridad</w:t>
            </w:r>
          </w:p>
        </w:tc>
      </w:tr>
      <w:tr w:rsidR="00C35C16" w14:paraId="1C488D56" w14:textId="77777777" w:rsidTr="003E1C2D">
        <w:tc>
          <w:tcPr>
            <w:tcW w:w="4414" w:type="dxa"/>
          </w:tcPr>
          <w:p w14:paraId="1924CAC9" w14:textId="77777777" w:rsidR="00C35C16" w:rsidRDefault="00C35C16" w:rsidP="003E1C2D">
            <w:r w:rsidRPr="00773346">
              <w:t>7 Seguridad de Recursos Humanos</w:t>
            </w:r>
          </w:p>
        </w:tc>
        <w:tc>
          <w:tcPr>
            <w:tcW w:w="1960" w:type="dxa"/>
          </w:tcPr>
          <w:p w14:paraId="33844A9A" w14:textId="77777777" w:rsidR="00C35C16" w:rsidRDefault="00C35C16" w:rsidP="003E1C2D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752EB7A8" w14:textId="77777777" w:rsidR="00C35C16" w:rsidRDefault="00C35C16" w:rsidP="003E1C2D">
            <w:pPr>
              <w:jc w:val="center"/>
            </w:pPr>
            <w:r>
              <w:t>Recursos Humanos</w:t>
            </w:r>
          </w:p>
        </w:tc>
      </w:tr>
      <w:tr w:rsidR="00C35C16" w14:paraId="6D47C636" w14:textId="77777777" w:rsidTr="003E1C2D">
        <w:tc>
          <w:tcPr>
            <w:tcW w:w="4414" w:type="dxa"/>
          </w:tcPr>
          <w:p w14:paraId="2662E5E6" w14:textId="77777777" w:rsidR="00C35C16" w:rsidRDefault="00C35C16" w:rsidP="003E1C2D">
            <w:r w:rsidRPr="00773346">
              <w:t>8 Administración de Activos</w:t>
            </w:r>
          </w:p>
        </w:tc>
        <w:tc>
          <w:tcPr>
            <w:tcW w:w="1960" w:type="dxa"/>
          </w:tcPr>
          <w:p w14:paraId="3B1A713C" w14:textId="77777777" w:rsidR="00C35C16" w:rsidRDefault="00C35C16" w:rsidP="003E1C2D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0076EBFC" w14:textId="77777777" w:rsidR="00C35C16" w:rsidRDefault="00C35C16" w:rsidP="003E1C2D">
            <w:r>
              <w:t>Área de Administración Interna (responsable de los inventarios) – Área TIC</w:t>
            </w:r>
          </w:p>
        </w:tc>
      </w:tr>
      <w:tr w:rsidR="00C35C16" w14:paraId="60E9EDA9" w14:textId="77777777" w:rsidTr="003E1C2D">
        <w:tc>
          <w:tcPr>
            <w:tcW w:w="4414" w:type="dxa"/>
          </w:tcPr>
          <w:p w14:paraId="758BF123" w14:textId="77777777" w:rsidR="00C35C16" w:rsidRDefault="00C35C16" w:rsidP="003E1C2D">
            <w:r w:rsidRPr="00773346">
              <w:t>9 Control de Acceso</w:t>
            </w:r>
          </w:p>
        </w:tc>
        <w:tc>
          <w:tcPr>
            <w:tcW w:w="1960" w:type="dxa"/>
          </w:tcPr>
          <w:p w14:paraId="14AECA46" w14:textId="77777777" w:rsidR="00C35C16" w:rsidRDefault="00C35C16" w:rsidP="003E1C2D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10928AF7" w14:textId="77777777" w:rsidR="00C35C16" w:rsidRDefault="00C35C16" w:rsidP="003E1C2D">
            <w:pPr>
              <w:jc w:val="center"/>
            </w:pPr>
            <w:r>
              <w:t>Área TIC</w:t>
            </w:r>
          </w:p>
        </w:tc>
      </w:tr>
      <w:tr w:rsidR="00C35C16" w14:paraId="2048A1B5" w14:textId="77777777" w:rsidTr="003E1C2D">
        <w:tc>
          <w:tcPr>
            <w:tcW w:w="4414" w:type="dxa"/>
          </w:tcPr>
          <w:p w14:paraId="094F54A0" w14:textId="77777777" w:rsidR="00C35C16" w:rsidRDefault="00C35C16" w:rsidP="003E1C2D">
            <w:r w:rsidRPr="00773346">
              <w:lastRenderedPageBreak/>
              <w:t>11 Seguridad Física y Ambiental</w:t>
            </w:r>
          </w:p>
        </w:tc>
        <w:tc>
          <w:tcPr>
            <w:tcW w:w="1960" w:type="dxa"/>
          </w:tcPr>
          <w:p w14:paraId="436E24A3" w14:textId="77777777" w:rsidR="00C35C16" w:rsidRDefault="00C35C16" w:rsidP="003E1C2D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14:paraId="738068FD" w14:textId="77777777" w:rsidR="00C35C16" w:rsidRDefault="00C35C16" w:rsidP="003E1C2D">
            <w:pPr>
              <w:jc w:val="center"/>
            </w:pPr>
            <w:r>
              <w:t>Área de Administración Interna (responsable de la Planta Física)</w:t>
            </w:r>
          </w:p>
        </w:tc>
      </w:tr>
      <w:tr w:rsidR="00C35C16" w14:paraId="19DF25A4" w14:textId="77777777" w:rsidTr="003E1C2D">
        <w:tc>
          <w:tcPr>
            <w:tcW w:w="4414" w:type="dxa"/>
          </w:tcPr>
          <w:p w14:paraId="1D705088" w14:textId="77777777" w:rsidR="00C35C16" w:rsidRDefault="00C35C16" w:rsidP="003E1C2D">
            <w:r w:rsidRPr="00773346">
              <w:t>12 Seguridad de las Operaciones</w:t>
            </w:r>
          </w:p>
        </w:tc>
        <w:tc>
          <w:tcPr>
            <w:tcW w:w="1960" w:type="dxa"/>
          </w:tcPr>
          <w:p w14:paraId="78CE3896" w14:textId="77777777" w:rsidR="00C35C16" w:rsidRDefault="00C35C16" w:rsidP="003E1C2D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1A5DC1C3" w14:textId="77777777" w:rsidR="00C35C16" w:rsidRDefault="00C35C16" w:rsidP="003E1C2D">
            <w:pPr>
              <w:jc w:val="center"/>
            </w:pPr>
            <w:r>
              <w:t>Área TIC</w:t>
            </w:r>
          </w:p>
        </w:tc>
      </w:tr>
      <w:tr w:rsidR="00C35C16" w14:paraId="3048824F" w14:textId="77777777" w:rsidTr="003E1C2D">
        <w:tc>
          <w:tcPr>
            <w:tcW w:w="4414" w:type="dxa"/>
          </w:tcPr>
          <w:p w14:paraId="20B3C937" w14:textId="77777777" w:rsidR="00C35C16" w:rsidRDefault="00C35C16" w:rsidP="003E1C2D">
            <w:r w:rsidRPr="00773346">
              <w:t>13 Seguridad en las Comunicaciones</w:t>
            </w:r>
          </w:p>
        </w:tc>
        <w:tc>
          <w:tcPr>
            <w:tcW w:w="1960" w:type="dxa"/>
          </w:tcPr>
          <w:p w14:paraId="2C3B0525" w14:textId="77777777" w:rsidR="00C35C16" w:rsidRDefault="00C35C16" w:rsidP="003E1C2D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6F411ED3" w14:textId="77777777" w:rsidR="00C35C16" w:rsidRDefault="00C35C16" w:rsidP="003E1C2D">
            <w:pPr>
              <w:jc w:val="center"/>
            </w:pPr>
            <w:r>
              <w:t>Área TIC</w:t>
            </w:r>
          </w:p>
        </w:tc>
      </w:tr>
      <w:tr w:rsidR="00C35C16" w14:paraId="6BCC9825" w14:textId="77777777" w:rsidTr="003E1C2D">
        <w:tc>
          <w:tcPr>
            <w:tcW w:w="4414" w:type="dxa"/>
          </w:tcPr>
          <w:p w14:paraId="68BBDBB3" w14:textId="77777777" w:rsidR="00C35C16" w:rsidRDefault="00C35C16" w:rsidP="003E1C2D">
            <w:r w:rsidRPr="00773346">
              <w:t>14 Adquisición, desarrollo y mantenimiento de sistemas</w:t>
            </w:r>
          </w:p>
        </w:tc>
        <w:tc>
          <w:tcPr>
            <w:tcW w:w="1960" w:type="dxa"/>
          </w:tcPr>
          <w:p w14:paraId="09E85B6A" w14:textId="77777777" w:rsidR="00C35C16" w:rsidRDefault="00C35C16" w:rsidP="003E1C2D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14:paraId="3207AEE0" w14:textId="77777777" w:rsidR="00C35C16" w:rsidRDefault="00C35C16" w:rsidP="003E1C2D">
            <w:pPr>
              <w:jc w:val="center"/>
            </w:pPr>
            <w:r>
              <w:t>Área TIC</w:t>
            </w:r>
          </w:p>
        </w:tc>
      </w:tr>
      <w:tr w:rsidR="00C35C16" w14:paraId="2DE1ABD8" w14:textId="77777777" w:rsidTr="003E1C2D">
        <w:tc>
          <w:tcPr>
            <w:tcW w:w="4414" w:type="dxa"/>
          </w:tcPr>
          <w:p w14:paraId="22F5BC4E" w14:textId="77777777" w:rsidR="00C35C16" w:rsidRDefault="00C35C16" w:rsidP="003E1C2D">
            <w:r w:rsidRPr="00773346">
              <w:t>15 Relaciones con los proveedores</w:t>
            </w:r>
          </w:p>
        </w:tc>
        <w:tc>
          <w:tcPr>
            <w:tcW w:w="1960" w:type="dxa"/>
          </w:tcPr>
          <w:p w14:paraId="4845AF5D" w14:textId="77777777" w:rsidR="00C35C16" w:rsidRDefault="00C35C16" w:rsidP="003E1C2D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34655103" w14:textId="77777777" w:rsidR="00C35C16" w:rsidRDefault="00C35C16" w:rsidP="003E1C2D">
            <w:pPr>
              <w:jc w:val="center"/>
            </w:pPr>
            <w:r>
              <w:t>Área de Administración Interna (responsable de las compras) – Área TIC</w:t>
            </w:r>
          </w:p>
        </w:tc>
      </w:tr>
      <w:tr w:rsidR="00C35C16" w14:paraId="0E0DB2A2" w14:textId="77777777" w:rsidTr="003E1C2D">
        <w:tc>
          <w:tcPr>
            <w:tcW w:w="4414" w:type="dxa"/>
          </w:tcPr>
          <w:p w14:paraId="458A4972" w14:textId="77777777" w:rsidR="00C35C16" w:rsidRDefault="00C35C16" w:rsidP="003E1C2D">
            <w:r w:rsidRPr="00773346">
              <w:t>16 Administración de incidentes de seguridad de la información</w:t>
            </w:r>
          </w:p>
        </w:tc>
        <w:tc>
          <w:tcPr>
            <w:tcW w:w="1960" w:type="dxa"/>
          </w:tcPr>
          <w:p w14:paraId="65307B4B" w14:textId="77777777" w:rsidR="00C35C16" w:rsidRDefault="00C35C16" w:rsidP="003E1C2D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0FF6E722" w14:textId="77777777" w:rsidR="00C35C16" w:rsidRDefault="00C35C16" w:rsidP="003E1C2D">
            <w:pPr>
              <w:jc w:val="center"/>
            </w:pPr>
            <w:r>
              <w:t>Comité de Seguridad / Encargado de Seguridad / Área TIC</w:t>
            </w:r>
          </w:p>
        </w:tc>
      </w:tr>
      <w:tr w:rsidR="00C35C16" w14:paraId="4F66C11D" w14:textId="77777777" w:rsidTr="003E1C2D">
        <w:tc>
          <w:tcPr>
            <w:tcW w:w="4414" w:type="dxa"/>
          </w:tcPr>
          <w:p w14:paraId="3E8ABBEE" w14:textId="77777777" w:rsidR="00C35C16" w:rsidRDefault="00C35C16" w:rsidP="003E1C2D">
            <w:r w:rsidRPr="00773346">
              <w:t>18 Cumplimiento</w:t>
            </w:r>
          </w:p>
        </w:tc>
        <w:tc>
          <w:tcPr>
            <w:tcW w:w="1960" w:type="dxa"/>
          </w:tcPr>
          <w:p w14:paraId="6B587373" w14:textId="77777777" w:rsidR="00C35C16" w:rsidRDefault="00C35C16" w:rsidP="003E1C2D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51E263" w14:textId="77777777" w:rsidR="00C35C16" w:rsidRDefault="00C35C16" w:rsidP="003E1C2D">
            <w:pPr>
              <w:jc w:val="center"/>
            </w:pPr>
            <w:r>
              <w:t>Área Jurídica</w:t>
            </w:r>
          </w:p>
        </w:tc>
      </w:tr>
      <w:tr w:rsidR="00C35C16" w14:paraId="3E4F5B13" w14:textId="77777777" w:rsidTr="003E1C2D">
        <w:tc>
          <w:tcPr>
            <w:tcW w:w="4414" w:type="dxa"/>
          </w:tcPr>
          <w:p w14:paraId="340B4483" w14:textId="77777777" w:rsidR="00C35C16" w:rsidRPr="00F95EFD" w:rsidRDefault="00C35C16" w:rsidP="003E1C2D">
            <w:pPr>
              <w:rPr>
                <w:b/>
              </w:rPr>
            </w:pPr>
            <w:r w:rsidRPr="00F95EFD">
              <w:rPr>
                <w:b/>
              </w:rPr>
              <w:t>TOTAL DE CONTROLES</w:t>
            </w:r>
          </w:p>
        </w:tc>
        <w:tc>
          <w:tcPr>
            <w:tcW w:w="1960" w:type="dxa"/>
          </w:tcPr>
          <w:p w14:paraId="2F501A4D" w14:textId="77777777" w:rsidR="00C35C16" w:rsidRPr="00F95EFD" w:rsidRDefault="00C35C16" w:rsidP="003E1C2D">
            <w:pPr>
              <w:jc w:val="center"/>
              <w:rPr>
                <w:b/>
              </w:rPr>
            </w:pPr>
            <w:r w:rsidRPr="00F95EFD">
              <w:rPr>
                <w:b/>
              </w:rPr>
              <w:t>35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2F0DC51B" w14:textId="77777777" w:rsidR="00C35C16" w:rsidRPr="00F95EFD" w:rsidRDefault="00C35C16" w:rsidP="003E1C2D">
            <w:pPr>
              <w:jc w:val="center"/>
              <w:rPr>
                <w:b/>
              </w:rPr>
            </w:pPr>
          </w:p>
        </w:tc>
      </w:tr>
    </w:tbl>
    <w:p w14:paraId="0565BF93" w14:textId="77777777" w:rsidR="00C35C16" w:rsidRDefault="00C35C16" w:rsidP="00C35C16">
      <w:pPr>
        <w:pStyle w:val="Prrafodelista"/>
        <w:ind w:left="567"/>
        <w:rPr>
          <w:b/>
        </w:rPr>
      </w:pPr>
    </w:p>
    <w:p w14:paraId="2B730B73" w14:textId="77777777" w:rsidR="005C3F0C" w:rsidRDefault="005C3F0C" w:rsidP="00E56FC2">
      <w:pPr>
        <w:pStyle w:val="Prrafodelista"/>
        <w:numPr>
          <w:ilvl w:val="2"/>
          <w:numId w:val="2"/>
        </w:numPr>
        <w:ind w:left="567" w:hanging="567"/>
        <w:rPr>
          <w:b/>
        </w:rPr>
      </w:pPr>
      <w:r>
        <w:rPr>
          <w:b/>
        </w:rPr>
        <w:t>Revisión del nivel de madurez</w:t>
      </w:r>
    </w:p>
    <w:p w14:paraId="778AF239" w14:textId="77777777" w:rsidR="005C3F0C" w:rsidRPr="00C35C16" w:rsidRDefault="00C35C16" w:rsidP="00425AC7">
      <w:r w:rsidRPr="00C35C16">
        <w:t xml:space="preserve">Se </w:t>
      </w:r>
      <w:r>
        <w:t xml:space="preserve">recomienda </w:t>
      </w:r>
      <w:r w:rsidRPr="00C35C16">
        <w:t xml:space="preserve"> revisar los niveles de madurez</w:t>
      </w:r>
      <w:r>
        <w:t xml:space="preserve"> para cada dominio</w:t>
      </w:r>
      <w:r w:rsidRPr="00C35C16">
        <w:t>, en primera instancia mediante el archivo Excel proporcionado y una vez realizada la medición e identificados los registros</w:t>
      </w:r>
      <w:r>
        <w:t>,</w:t>
      </w:r>
      <w:r w:rsidRPr="00C35C16">
        <w:t xml:space="preserve"> realizar la carga de archivos a la plataforma de encuestas de Minsal.</w:t>
      </w:r>
    </w:p>
    <w:p w14:paraId="287B5E6F" w14:textId="77777777" w:rsidR="005C3F0C" w:rsidRDefault="005C3F0C" w:rsidP="00E56FC2">
      <w:pPr>
        <w:pStyle w:val="Prrafodelista"/>
        <w:numPr>
          <w:ilvl w:val="2"/>
          <w:numId w:val="2"/>
        </w:numPr>
        <w:ind w:left="567" w:hanging="567"/>
        <w:rPr>
          <w:b/>
        </w:rPr>
      </w:pPr>
      <w:r>
        <w:rPr>
          <w:b/>
        </w:rPr>
        <w:t>Consolidación y recopilación de registros</w:t>
      </w:r>
    </w:p>
    <w:p w14:paraId="1FE28731" w14:textId="77777777" w:rsidR="00C35C16" w:rsidRPr="00245435" w:rsidRDefault="00C35C16" w:rsidP="00245435">
      <w:r w:rsidRPr="00245435">
        <w:t>Una vez se tengan</w:t>
      </w:r>
      <w:r w:rsidR="00245435" w:rsidRPr="00245435">
        <w:t xml:space="preserve"> los distintos niveles de madurez para cada control, se deberá consolidad la información, en un único archivo Excel, junto con todos los registros que den cuenta del grado de madurez.</w:t>
      </w:r>
    </w:p>
    <w:p w14:paraId="5069257C" w14:textId="77777777" w:rsidR="00245435" w:rsidRDefault="00245435" w:rsidP="00C35C16">
      <w:pPr>
        <w:pStyle w:val="Prrafodelista"/>
        <w:ind w:left="567"/>
        <w:rPr>
          <w:b/>
        </w:rPr>
      </w:pPr>
    </w:p>
    <w:p w14:paraId="6CCFF936" w14:textId="77777777" w:rsidR="005C3F0C" w:rsidRDefault="005C3F0C" w:rsidP="00E56FC2">
      <w:pPr>
        <w:pStyle w:val="Prrafodelista"/>
        <w:numPr>
          <w:ilvl w:val="2"/>
          <w:numId w:val="2"/>
        </w:numPr>
        <w:ind w:left="567" w:hanging="567"/>
        <w:rPr>
          <w:b/>
        </w:rPr>
      </w:pPr>
      <w:r>
        <w:rPr>
          <w:b/>
        </w:rPr>
        <w:t>Revisión previa a la carga de archivos</w:t>
      </w:r>
    </w:p>
    <w:p w14:paraId="01986D6E" w14:textId="77777777" w:rsidR="00245435" w:rsidRPr="00245435" w:rsidRDefault="00245435" w:rsidP="00245435">
      <w:r w:rsidRPr="00245435">
        <w:t>Antes de cargar los resultados y registros de implementación, se deberá revisar la información, para minimizar los posibles errores.</w:t>
      </w:r>
    </w:p>
    <w:p w14:paraId="4FAABC26" w14:textId="77777777" w:rsidR="005C3F0C" w:rsidRDefault="005C3F0C" w:rsidP="00E56FC2">
      <w:pPr>
        <w:pStyle w:val="Prrafodelista"/>
        <w:numPr>
          <w:ilvl w:val="2"/>
          <w:numId w:val="2"/>
        </w:numPr>
        <w:ind w:left="567" w:hanging="567"/>
        <w:rPr>
          <w:b/>
        </w:rPr>
      </w:pPr>
      <w:r>
        <w:rPr>
          <w:b/>
        </w:rPr>
        <w:t>Carga de resultados de autoevaluación</w:t>
      </w:r>
    </w:p>
    <w:p w14:paraId="6400D791" w14:textId="77777777" w:rsidR="00245435" w:rsidRPr="00245435" w:rsidRDefault="00245435" w:rsidP="00245435">
      <w:r w:rsidRPr="00245435">
        <w:t>Cada Servicio de Salud deberá realizar la carga de los resultados de la evaluación y los registros que dan evidencia.</w:t>
      </w:r>
    </w:p>
    <w:p w14:paraId="0F5AD236" w14:textId="77777777" w:rsidR="00245435" w:rsidRDefault="00245435" w:rsidP="00245435">
      <w:pPr>
        <w:pStyle w:val="Prrafodelista"/>
        <w:ind w:left="567"/>
        <w:rPr>
          <w:b/>
        </w:rPr>
      </w:pPr>
    </w:p>
    <w:p w14:paraId="2A3F10C0" w14:textId="77777777" w:rsidR="00245435" w:rsidRDefault="005C3F0C" w:rsidP="00E56FC2">
      <w:pPr>
        <w:pStyle w:val="Prrafodelista"/>
        <w:numPr>
          <w:ilvl w:val="2"/>
          <w:numId w:val="2"/>
        </w:numPr>
        <w:ind w:left="567" w:hanging="567"/>
        <w:rPr>
          <w:b/>
        </w:rPr>
      </w:pPr>
      <w:r>
        <w:rPr>
          <w:b/>
        </w:rPr>
        <w:t>Envío de resultados al NC</w:t>
      </w:r>
    </w:p>
    <w:p w14:paraId="507252E4" w14:textId="77777777" w:rsidR="009D7AAA" w:rsidRPr="00245435" w:rsidRDefault="00245435" w:rsidP="00245435">
      <w:r w:rsidRPr="00245435">
        <w:lastRenderedPageBreak/>
        <w:t>Una vez cargados los resultados y archivos se deberá hacer envío a través de la plataforma al nivel central, además se deberá enviar el archivo Excel consolidado con la medición de los niveles de madurez.</w:t>
      </w:r>
      <w:r w:rsidR="005C3F0C" w:rsidRPr="00245435">
        <w:br w:type="textWrapping" w:clear="all"/>
      </w:r>
    </w:p>
    <w:p w14:paraId="4CE2D70F" w14:textId="77777777" w:rsidR="009D7AAA" w:rsidRDefault="009D7AAA"/>
    <w:sectPr w:rsidR="009D7AAA" w:rsidSect="00F95E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odrigo Andres Vidal Arteaga" w:date="2017-07-18T12:08:00Z" w:initials="RAVA">
    <w:p w14:paraId="08553B6C" w14:textId="77777777" w:rsidR="004D6884" w:rsidRDefault="004D6884">
      <w:pPr>
        <w:pStyle w:val="Textocomentario"/>
      </w:pPr>
      <w:r>
        <w:rPr>
          <w:rStyle w:val="Refdecomentario"/>
        </w:rPr>
        <w:annotationRef/>
      </w:r>
      <w:r>
        <w:t>Pendiente por definir la dirección y acceso a la encuesta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553B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BFFD" w14:textId="77777777" w:rsidR="00142514" w:rsidRDefault="00142514" w:rsidP="0038704F">
      <w:pPr>
        <w:spacing w:after="0" w:line="240" w:lineRule="auto"/>
      </w:pPr>
      <w:r>
        <w:separator/>
      </w:r>
    </w:p>
  </w:endnote>
  <w:endnote w:type="continuationSeparator" w:id="0">
    <w:p w14:paraId="2EA9813F" w14:textId="77777777" w:rsidR="00142514" w:rsidRDefault="00142514" w:rsidP="0038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C177D" w14:textId="77777777" w:rsidR="00142514" w:rsidRDefault="00142514" w:rsidP="0038704F">
      <w:pPr>
        <w:spacing w:after="0" w:line="240" w:lineRule="auto"/>
      </w:pPr>
      <w:r>
        <w:separator/>
      </w:r>
    </w:p>
  </w:footnote>
  <w:footnote w:type="continuationSeparator" w:id="0">
    <w:p w14:paraId="310E3560" w14:textId="77777777" w:rsidR="00142514" w:rsidRDefault="00142514" w:rsidP="0038704F">
      <w:pPr>
        <w:spacing w:after="0" w:line="240" w:lineRule="auto"/>
      </w:pPr>
      <w:r>
        <w:continuationSeparator/>
      </w:r>
    </w:p>
  </w:footnote>
  <w:footnote w:id="1">
    <w:p w14:paraId="281C32B6" w14:textId="77777777" w:rsidR="0038704F" w:rsidRDefault="0038704F">
      <w:pPr>
        <w:pStyle w:val="Textonotapie"/>
      </w:pPr>
      <w:r>
        <w:rPr>
          <w:rStyle w:val="Refdenotaalpie"/>
        </w:rPr>
        <w:footnoteRef/>
      </w:r>
      <w:r>
        <w:t xml:space="preserve"> Para mayores antecedentes visitar </w:t>
      </w:r>
      <w:hyperlink r:id="rId1" w:history="1">
        <w:r w:rsidRPr="005D7A58">
          <w:rPr>
            <w:rStyle w:val="Hipervnculo"/>
          </w:rPr>
          <w:t>http://www.dipres.gob.cl/594/w3-propertyvalue-16887.html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53F"/>
    <w:multiLevelType w:val="hybridMultilevel"/>
    <w:tmpl w:val="E138B14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0D7C"/>
    <w:multiLevelType w:val="multilevel"/>
    <w:tmpl w:val="EA14B36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14A25216"/>
    <w:multiLevelType w:val="hybridMultilevel"/>
    <w:tmpl w:val="97B68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1780"/>
    <w:multiLevelType w:val="hybridMultilevel"/>
    <w:tmpl w:val="84E6FD2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60DD"/>
    <w:multiLevelType w:val="hybridMultilevel"/>
    <w:tmpl w:val="97B68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C099D"/>
    <w:multiLevelType w:val="multilevel"/>
    <w:tmpl w:val="C9125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ndres Vidal Arteaga">
    <w15:presenceInfo w15:providerId="AD" w15:userId="S-1-5-21-3817787726-4103458866-2903945651-9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46"/>
    <w:rsid w:val="00027CB5"/>
    <w:rsid w:val="00142514"/>
    <w:rsid w:val="00161A7B"/>
    <w:rsid w:val="0016374C"/>
    <w:rsid w:val="00245435"/>
    <w:rsid w:val="002C1173"/>
    <w:rsid w:val="002C3A94"/>
    <w:rsid w:val="00354234"/>
    <w:rsid w:val="0038704F"/>
    <w:rsid w:val="00425AC7"/>
    <w:rsid w:val="004D4E26"/>
    <w:rsid w:val="004D6884"/>
    <w:rsid w:val="005C3F0C"/>
    <w:rsid w:val="00773346"/>
    <w:rsid w:val="009D7AAA"/>
    <w:rsid w:val="00B54743"/>
    <w:rsid w:val="00B819AA"/>
    <w:rsid w:val="00C35C16"/>
    <w:rsid w:val="00C40924"/>
    <w:rsid w:val="00E56FC2"/>
    <w:rsid w:val="00F9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674DE"/>
  <w15:chartTrackingRefBased/>
  <w15:docId w15:val="{D345D4E4-D459-4728-81AD-4B4D64CD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3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5AC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870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70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704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8704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D6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pres.gob.cl/594/w3-propertyvalue-16887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2D5B-1AF6-4EFA-B1CB-14F9DD2A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1934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Andres Vidal Arteaga</dc:creator>
  <cp:keywords/>
  <dc:description/>
  <cp:lastModifiedBy>Rodrigo Andres Vidal Arteaga</cp:lastModifiedBy>
  <cp:revision>9</cp:revision>
  <dcterms:created xsi:type="dcterms:W3CDTF">2017-07-18T14:03:00Z</dcterms:created>
  <dcterms:modified xsi:type="dcterms:W3CDTF">2017-07-18T16:09:00Z</dcterms:modified>
</cp:coreProperties>
</file>